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60.0" w:type="pct"/>
        <w:tblLayout w:type="fixed"/>
        <w:tblLook w:val="0600"/>
      </w:tblPr>
      <w:tblGrid>
        <w:gridCol w:w="2625"/>
        <w:gridCol w:w="2985"/>
        <w:gridCol w:w="3555"/>
        <w:tblGridChange w:id="0">
          <w:tblGrid>
            <w:gridCol w:w="2625"/>
            <w:gridCol w:w="2985"/>
            <w:gridCol w:w="3555"/>
          </w:tblGrid>
        </w:tblGridChange>
      </w:tblGrid>
      <w:tr>
        <w:trPr>
          <w:trHeight w:val="580" w:hRule="atLeast"/>
        </w:trPr>
        <w:tc>
          <w:tcPr>
            <w:tcBorders>
              <w:top w:color="18376a" w:space="0" w:sz="12" w:val="single"/>
              <w:left w:color="18376a" w:space="0" w:sz="12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IMPACTO</w:t>
            </w:r>
          </w:p>
        </w:tc>
        <w:tc>
          <w:tcPr>
            <w:tcBorders>
              <w:top w:color="18376a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 ESTRATÉGICO</w:t>
            </w:r>
          </w:p>
        </w:tc>
        <w:tc>
          <w:tcPr>
            <w:tcBorders>
              <w:top w:color="18376a" w:space="0" w:sz="12" w:val="single"/>
              <w:left w:color="000000" w:space="0" w:sz="6" w:val="single"/>
              <w:bottom w:color="000000" w:space="0" w:sz="6" w:val="single"/>
              <w:right w:color="18376a" w:space="0" w:sz="12" w:val="single"/>
            </w:tcBorders>
            <w:shd w:fill="c9daf8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OBJETIVOS ESPECÍFICOS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6" w:val="single"/>
              <w:left w:color="18376a" w:space="0" w:sz="12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Prácticas de Enseñanza y Aprendizaje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18376a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18376a" w:space="0" w:sz="12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Desarrollo Profesional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18376a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18376a" w:space="0" w:sz="12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Prácticas de evaluación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18376a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6" w:val="single"/>
              <w:left w:color="18376a" w:space="0" w:sz="12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Contenido y Currículos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18376a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18376a" w:space="0" w:sz="12" w:val="single"/>
              <w:bottom w:color="18376a" w:space="0" w:sz="12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hd w:fill="f9f9f9" w:val="clear"/>
              </w:rPr>
            </w:pPr>
            <w:r w:rsidDel="00000000" w:rsidR="00000000" w:rsidRPr="00000000">
              <w:rPr>
                <w:shd w:fill="f9f9f9" w:val="clear"/>
                <w:rtl w:val="0"/>
              </w:rPr>
              <w:t xml:space="preserve">Infraestructura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18376a" w:space="0" w:sz="12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18376a" w:space="0" w:sz="12" w:val="single"/>
              <w:right w:color="18376a" w:space="0" w:sz="12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